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0" w:type="dxa"/>
        <w:tblCellMar>
          <w:left w:w="0" w:type="dxa"/>
          <w:right w:w="0" w:type="dxa"/>
        </w:tblCellMar>
        <w:tblLook w:val="04A0" w:firstRow="1" w:lastRow="0" w:firstColumn="1" w:lastColumn="0" w:noHBand="0" w:noVBand="1"/>
      </w:tblPr>
      <w:tblGrid>
        <w:gridCol w:w="9026"/>
      </w:tblGrid>
      <w:tr w:rsidR="00E51891" w:rsidRPr="00E51891" w14:paraId="260B9A87" w14:textId="77777777" w:rsidTr="00E51891">
        <w:trPr>
          <w:tblCellSpacing w:w="0" w:type="dxa"/>
        </w:trPr>
        <w:tc>
          <w:tcPr>
            <w:tcW w:w="9000" w:type="dxa"/>
            <w:vAlign w:val="center"/>
            <w:hideMark/>
          </w:tcPr>
          <w:p w14:paraId="1230004B" w14:textId="77777777" w:rsidR="00E51891" w:rsidRPr="00E51891" w:rsidRDefault="00E51891" w:rsidP="00E51891">
            <w:pPr>
              <w:spacing w:line="0" w:lineRule="atLeast"/>
              <w:rPr>
                <w:rFonts w:ascii="Avenir-Book" w:eastAsia="Times New Roman" w:hAnsi="Avenir-Book" w:cs="Times New Roman"/>
                <w:sz w:val="2"/>
                <w:szCs w:val="2"/>
                <w:lang w:eastAsia="en-GB"/>
              </w:rPr>
            </w:pPr>
            <w:r w:rsidRPr="00E51891">
              <w:rPr>
                <w:rFonts w:ascii="Avenir-Book" w:eastAsia="Times New Roman" w:hAnsi="Avenir-Book" w:cs="Times New Roman"/>
                <w:sz w:val="2"/>
                <w:szCs w:val="2"/>
                <w:lang w:eastAsia="en-GB"/>
              </w:rPr>
              <w:t>blank %}</w:t>
            </w:r>
          </w:p>
          <w:tbl>
            <w:tblPr>
              <w:tblW w:w="5000" w:type="pct"/>
              <w:tblCellSpacing w:w="0" w:type="dxa"/>
              <w:tblCellMar>
                <w:left w:w="0" w:type="dxa"/>
                <w:right w:w="0" w:type="dxa"/>
              </w:tblCellMar>
              <w:tblLook w:val="04A0" w:firstRow="1" w:lastRow="0" w:firstColumn="1" w:lastColumn="0" w:noHBand="0" w:noVBand="1"/>
            </w:tblPr>
            <w:tblGrid>
              <w:gridCol w:w="9026"/>
            </w:tblGrid>
            <w:tr w:rsidR="00E51891" w:rsidRPr="00E51891" w14:paraId="38785763" w14:textId="77777777">
              <w:trPr>
                <w:tblCellSpacing w:w="0" w:type="dxa"/>
              </w:trPr>
              <w:tc>
                <w:tcPr>
                  <w:tcW w:w="0" w:type="auto"/>
                  <w:vAlign w:val="center"/>
                  <w:hideMark/>
                </w:tcPr>
                <w:p w14:paraId="5687F2BE" w14:textId="77777777" w:rsidR="00E51891" w:rsidRPr="00E51891" w:rsidRDefault="00E51891" w:rsidP="00E51891">
                  <w:pPr>
                    <w:spacing w:line="0" w:lineRule="atLeast"/>
                    <w:rPr>
                      <w:rFonts w:ascii="Times New Roman" w:eastAsia="Times New Roman" w:hAnsi="Times New Roman" w:cs="Times New Roman"/>
                      <w:sz w:val="2"/>
                      <w:szCs w:val="2"/>
                      <w:lang w:eastAsia="en-GB"/>
                    </w:rPr>
                  </w:pPr>
                  <w:r w:rsidRPr="00E51891">
                    <w:rPr>
                      <w:rFonts w:ascii="Times New Roman" w:eastAsia="Times New Roman" w:hAnsi="Times New Roman" w:cs="Times New Roman"/>
                      <w:sz w:val="2"/>
                      <w:szCs w:val="2"/>
                      <w:lang w:eastAsia="en-GB"/>
                    </w:rPr>
                    <w:t>The Guardian</w:t>
                  </w:r>
                </w:p>
              </w:tc>
            </w:tr>
            <w:tr w:rsidR="00E51891" w:rsidRPr="00E51891" w14:paraId="286CECB1" w14:textId="77777777">
              <w:trPr>
                <w:tblCellSpacing w:w="0" w:type="dxa"/>
              </w:trPr>
              <w:tc>
                <w:tcPr>
                  <w:tcW w:w="0" w:type="auto"/>
                  <w:vAlign w:val="center"/>
                  <w:hideMark/>
                </w:tcPr>
                <w:p w14:paraId="7BBD4E2C" w14:textId="77777777" w:rsidR="00E51891" w:rsidRPr="00E51891" w:rsidRDefault="00E51891" w:rsidP="00E51891">
                  <w:pPr>
                    <w:spacing w:line="0" w:lineRule="atLeast"/>
                    <w:rPr>
                      <w:rFonts w:ascii="Times New Roman" w:eastAsia="Times New Roman" w:hAnsi="Times New Roman" w:cs="Times New Roman"/>
                      <w:sz w:val="2"/>
                      <w:szCs w:val="2"/>
                      <w:lang w:eastAsia="en-GB"/>
                    </w:rPr>
                  </w:pPr>
                  <w:r w:rsidRPr="00E51891">
                    <w:rPr>
                      <w:rFonts w:ascii="Times New Roman" w:eastAsia="Times New Roman" w:hAnsi="Times New Roman" w:cs="Times New Roman"/>
                      <w:sz w:val="2"/>
                      <w:szCs w:val="2"/>
                      <w:lang w:eastAsia="en-GB"/>
                    </w:rPr>
                    <w:t>  ‌   ‌   ‌   ‌   ‌   ‌   ‌   ‌   ‌   ‌   ‌   ‌   ‌   ‌   ‌   ‌   ‌   ‌   ‌   ‌   ‌   ‌   ‌   ‌   ‌   ‌   ‌   ‌   ‌   ‌   ‌   ‌   ‌   ‌   ‌   ‌   ‌   ‌   ‌   ‌   ‌   ‌   ‌   ‌   ‌   ‌   ‌   ‌   ‌   ‌   ‌   ‌   ‌   ‌   ‌   ‌   ‌   ‌   ‌   ‌   ‌   ‌   ‌   ‌   ‌   ‌   ‌   ‌   ‌   ‌   ‌   ‌   ‌   ‌   ‌   ‌   ‌   ‌   ‌   ‌   ‌   ‌   ‌   ‌   ‌   ‌   ‌   ‌   ‌   ‌   ‌   ‌   ‌   ‌   ‌   ‌   ‌   ‌   ‌   ‌   ‌   ‌   ‌   ‌   ‌   ‌   ‌   ‌   ‌   ‌   ‌   ‌   ‌   ‌   ‌   ‌   ‌   ‌   ‌   ‌   ‌</w:t>
                  </w:r>
                </w:p>
              </w:tc>
            </w:tr>
            <w:tr w:rsidR="00E51891" w:rsidRPr="00E51891" w14:paraId="07879A9F" w14:textId="77777777">
              <w:trPr>
                <w:tblCellSpacing w:w="0" w:type="dxa"/>
              </w:trPr>
              <w:tc>
                <w:tcPr>
                  <w:tcW w:w="0" w:type="auto"/>
                  <w:tcMar>
                    <w:top w:w="150" w:type="dxa"/>
                    <w:left w:w="150" w:type="dxa"/>
                    <w:bottom w:w="150" w:type="dxa"/>
                    <w:right w:w="150" w:type="dxa"/>
                  </w:tcMar>
                  <w:vAlign w:val="center"/>
                  <w:hideMark/>
                </w:tcPr>
                <w:p w14:paraId="75C0FBC5" w14:textId="77777777" w:rsidR="00E51891" w:rsidRPr="00E51891" w:rsidRDefault="00E51891" w:rsidP="00E51891">
                  <w:pPr>
                    <w:spacing w:line="0" w:lineRule="atLeast"/>
                    <w:rPr>
                      <w:rFonts w:ascii="Times New Roman" w:eastAsia="Times New Roman" w:hAnsi="Times New Roman" w:cs="Times New Roman"/>
                      <w:sz w:val="2"/>
                      <w:szCs w:val="2"/>
                      <w:lang w:eastAsia="en-GB"/>
                    </w:rPr>
                  </w:pPr>
                </w:p>
              </w:tc>
            </w:tr>
            <w:tr w:rsidR="00E51891" w:rsidRPr="00E51891" w14:paraId="51D390B5" w14:textId="77777777">
              <w:trPr>
                <w:tblCellSpacing w:w="0" w:type="dxa"/>
              </w:trPr>
              <w:tc>
                <w:tcPr>
                  <w:tcW w:w="0" w:type="auto"/>
                  <w:vAlign w:val="center"/>
                  <w:hideMark/>
                </w:tcPr>
                <w:p w14:paraId="7843885F" w14:textId="723464B5" w:rsidR="00E51891" w:rsidRPr="00E51891" w:rsidRDefault="00E51891" w:rsidP="00E51891">
                  <w:pPr>
                    <w:spacing w:line="0" w:lineRule="atLeast"/>
                    <w:jc w:val="right"/>
                    <w:rPr>
                      <w:rFonts w:ascii="Times New Roman" w:eastAsia="Times New Roman" w:hAnsi="Times New Roman" w:cs="Times New Roman"/>
                      <w:sz w:val="2"/>
                      <w:szCs w:val="2"/>
                      <w:lang w:eastAsia="en-GB"/>
                    </w:rPr>
                  </w:pPr>
                  <w:r w:rsidRPr="00E51891">
                    <w:rPr>
                      <w:rFonts w:ascii="Times New Roman" w:eastAsia="Times New Roman" w:hAnsi="Times New Roman" w:cs="Times New Roman"/>
                      <w:noProof/>
                      <w:color w:val="052962"/>
                      <w:sz w:val="2"/>
                      <w:szCs w:val="2"/>
                      <w:lang w:eastAsia="en-GB"/>
                    </w:rPr>
                    <w:drawing>
                      <wp:inline distT="0" distB="0" distL="0" distR="0" wp14:anchorId="207BDF14" wp14:editId="47CF2E6A">
                        <wp:extent cx="5731510" cy="570865"/>
                        <wp:effectExtent l="0" t="0" r="0" b="635"/>
                        <wp:docPr id="2047395315" name="Picture 3" descr="The Guardian Members">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uardian Members">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570865"/>
                                </a:xfrm>
                                <a:prstGeom prst="rect">
                                  <a:avLst/>
                                </a:prstGeom>
                                <a:noFill/>
                                <a:ln>
                                  <a:noFill/>
                                </a:ln>
                              </pic:spPr>
                            </pic:pic>
                          </a:graphicData>
                        </a:graphic>
                      </wp:inline>
                    </w:drawing>
                  </w:r>
                </w:p>
              </w:tc>
            </w:tr>
            <w:tr w:rsidR="00E51891" w:rsidRPr="00E51891" w14:paraId="4602C994"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E51891" w:rsidRPr="00E51891" w14:paraId="49B48AC0" w14:textId="77777777">
                    <w:trPr>
                      <w:tblCellSpacing w:w="0" w:type="dxa"/>
                    </w:trPr>
                    <w:tc>
                      <w:tcPr>
                        <w:tcW w:w="0" w:type="auto"/>
                        <w:tcMar>
                          <w:top w:w="0" w:type="dxa"/>
                          <w:left w:w="0" w:type="dxa"/>
                          <w:bottom w:w="375" w:type="dxa"/>
                          <w:right w:w="0" w:type="dxa"/>
                        </w:tcMar>
                        <w:vAlign w:val="center"/>
                        <w:hideMark/>
                      </w:tcPr>
                      <w:p w14:paraId="3C6354AF" w14:textId="7B49CB68" w:rsidR="00E51891" w:rsidRPr="00E51891" w:rsidRDefault="00E51891" w:rsidP="00E51891">
                        <w:pPr>
                          <w:spacing w:line="0" w:lineRule="atLeast"/>
                          <w:jc w:val="center"/>
                          <w:rPr>
                            <w:rFonts w:ascii="Times New Roman" w:eastAsia="Times New Roman" w:hAnsi="Times New Roman" w:cs="Times New Roman"/>
                            <w:sz w:val="2"/>
                            <w:szCs w:val="2"/>
                            <w:lang w:eastAsia="en-GB"/>
                          </w:rPr>
                        </w:pPr>
                        <w:r w:rsidRPr="00E51891">
                          <w:rPr>
                            <w:rFonts w:ascii="Times New Roman" w:eastAsia="Times New Roman" w:hAnsi="Times New Roman" w:cs="Times New Roman"/>
                            <w:sz w:val="2"/>
                            <w:szCs w:val="2"/>
                            <w:lang w:eastAsia="en-GB"/>
                          </w:rPr>
                          <w:fldChar w:fldCharType="begin"/>
                        </w:r>
                        <w:r w:rsidRPr="00E51891">
                          <w:rPr>
                            <w:rFonts w:ascii="Times New Roman" w:eastAsia="Times New Roman" w:hAnsi="Times New Roman" w:cs="Times New Roman"/>
                            <w:sz w:val="2"/>
                            <w:szCs w:val="2"/>
                            <w:lang w:eastAsia="en-GB"/>
                          </w:rPr>
                          <w:instrText xml:space="preserve"> INCLUDEPICTURE "/Users/lyn/Library/Group Containers/UBF8T346G9.ms/WebArchiveCopyPasteTempFiles/com.microsoft.Word/original.png?1693894296" \* MERGEFORMATINET </w:instrText>
                        </w:r>
                        <w:r w:rsidRPr="00E51891">
                          <w:rPr>
                            <w:rFonts w:ascii="Times New Roman" w:eastAsia="Times New Roman" w:hAnsi="Times New Roman" w:cs="Times New Roman"/>
                            <w:sz w:val="2"/>
                            <w:szCs w:val="2"/>
                            <w:lang w:eastAsia="en-GB"/>
                          </w:rPr>
                          <w:fldChar w:fldCharType="separate"/>
                        </w:r>
                        <w:r w:rsidRPr="00E51891">
                          <w:rPr>
                            <w:rFonts w:ascii="Times New Roman" w:eastAsia="Times New Roman" w:hAnsi="Times New Roman" w:cs="Times New Roman"/>
                            <w:noProof/>
                            <w:sz w:val="2"/>
                            <w:szCs w:val="2"/>
                            <w:lang w:eastAsia="en-GB"/>
                          </w:rPr>
                          <w:drawing>
                            <wp:inline distT="0" distB="0" distL="0" distR="0" wp14:anchorId="4B29D729" wp14:editId="570BD07A">
                              <wp:extent cx="5731510" cy="3791585"/>
                              <wp:effectExtent l="0" t="0" r="0" b="5715"/>
                              <wp:docPr id="476312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791585"/>
                                      </a:xfrm>
                                      <a:prstGeom prst="rect">
                                        <a:avLst/>
                                      </a:prstGeom>
                                      <a:noFill/>
                                      <a:ln>
                                        <a:noFill/>
                                      </a:ln>
                                    </pic:spPr>
                                  </pic:pic>
                                </a:graphicData>
                              </a:graphic>
                            </wp:inline>
                          </w:drawing>
                        </w:r>
                        <w:r w:rsidRPr="00E51891">
                          <w:rPr>
                            <w:rFonts w:ascii="Times New Roman" w:eastAsia="Times New Roman" w:hAnsi="Times New Roman" w:cs="Times New Roman"/>
                            <w:sz w:val="2"/>
                            <w:szCs w:val="2"/>
                            <w:lang w:eastAsia="en-GB"/>
                          </w:rPr>
                          <w:fldChar w:fldCharType="end"/>
                        </w:r>
                      </w:p>
                    </w:tc>
                  </w:tr>
                </w:tbl>
                <w:p w14:paraId="2E3BC50A" w14:textId="77777777" w:rsidR="00E51891" w:rsidRPr="00E51891" w:rsidRDefault="00E51891" w:rsidP="00E51891">
                  <w:pPr>
                    <w:rPr>
                      <w:rFonts w:ascii="Times New Roman" w:eastAsia="Times New Roman" w:hAnsi="Times New Roman" w:cs="Times New Roman"/>
                      <w:sz w:val="24"/>
                      <w:lang w:eastAsia="en-GB"/>
                    </w:rPr>
                  </w:pPr>
                </w:p>
              </w:tc>
            </w:tr>
            <w:tr w:rsidR="00E51891" w:rsidRPr="00E51891" w14:paraId="3DBFAB2B" w14:textId="77777777">
              <w:trPr>
                <w:tblCellSpacing w:w="0" w:type="dxa"/>
              </w:trPr>
              <w:tc>
                <w:tcPr>
                  <w:tcW w:w="0" w:type="auto"/>
                  <w:tcMar>
                    <w:top w:w="0" w:type="dxa"/>
                    <w:left w:w="150" w:type="dxa"/>
                    <w:bottom w:w="0"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726"/>
                  </w:tblGrid>
                  <w:tr w:rsidR="00E51891" w:rsidRPr="00E51891" w14:paraId="27C164E1" w14:textId="77777777">
                    <w:trPr>
                      <w:tblCellSpacing w:w="0" w:type="dxa"/>
                    </w:trPr>
                    <w:tc>
                      <w:tcPr>
                        <w:tcW w:w="0" w:type="auto"/>
                        <w:vAlign w:val="center"/>
                        <w:hideMark/>
                      </w:tcPr>
                      <w:p w14:paraId="73FC0E66" w14:textId="77777777" w:rsidR="00E51891" w:rsidRPr="00E51891" w:rsidRDefault="00E51891" w:rsidP="00E51891">
                        <w:pPr>
                          <w:spacing w:line="315" w:lineRule="atLeast"/>
                          <w:rPr>
                            <w:rFonts w:ascii="Georgia" w:eastAsia="Times New Roman" w:hAnsi="Georgia" w:cs="Times New Roman"/>
                            <w:color w:val="000001"/>
                            <w:sz w:val="26"/>
                            <w:szCs w:val="26"/>
                            <w:lang w:eastAsia="en-GB"/>
                          </w:rPr>
                        </w:pPr>
                        <w:r w:rsidRPr="00E51891">
                          <w:rPr>
                            <w:rFonts w:ascii="Georgia" w:eastAsia="Times New Roman" w:hAnsi="Georgia" w:cs="Times New Roman"/>
                            <w:b/>
                            <w:bCs/>
                            <w:color w:val="000001"/>
                            <w:sz w:val="26"/>
                            <w:szCs w:val="26"/>
                            <w:lang w:eastAsia="en-GB"/>
                          </w:rPr>
                          <w:t>Dear supporter</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A year ago opinion </w:t>
                        </w:r>
                        <w:hyperlink r:id="rId7" w:history="1">
                          <w:r w:rsidRPr="00E51891">
                            <w:rPr>
                              <w:rFonts w:ascii="Georgia" w:eastAsia="Times New Roman" w:hAnsi="Georgia" w:cs="Times New Roman"/>
                              <w:b/>
                              <w:bCs/>
                              <w:color w:val="052962"/>
                              <w:sz w:val="26"/>
                              <w:szCs w:val="26"/>
                              <w:u w:val="single"/>
                              <w:lang w:eastAsia="en-GB"/>
                            </w:rPr>
                            <w:t>polls showed</w:t>
                          </w:r>
                        </w:hyperlink>
                        <w:r w:rsidRPr="00E51891">
                          <w:rPr>
                            <w:rFonts w:ascii="Georgia" w:eastAsia="Times New Roman" w:hAnsi="Georgia" w:cs="Times New Roman"/>
                            <w:color w:val="000001"/>
                            <w:sz w:val="26"/>
                            <w:szCs w:val="26"/>
                            <w:lang w:eastAsia="en-GB"/>
                          </w:rPr>
                          <w:t> the Indigenous voice referendum had overwhelming voter approval.</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Now, as the prime minister names the referendum date, the modest proposal – that </w:t>
                        </w:r>
                        <w:hyperlink r:id="rId8" w:history="1">
                          <w:r w:rsidRPr="00E51891">
                            <w:rPr>
                              <w:rFonts w:ascii="Georgia" w:eastAsia="Times New Roman" w:hAnsi="Georgia" w:cs="Times New Roman"/>
                              <w:b/>
                              <w:bCs/>
                              <w:color w:val="052962"/>
                              <w:sz w:val="26"/>
                              <w:szCs w:val="26"/>
                              <w:u w:val="single"/>
                              <w:lang w:eastAsia="en-GB"/>
                            </w:rPr>
                            <w:t>Indigenous Australians</w:t>
                          </w:r>
                        </w:hyperlink>
                        <w:r w:rsidRPr="00E51891">
                          <w:rPr>
                            <w:rFonts w:ascii="Georgia" w:eastAsia="Times New Roman" w:hAnsi="Georgia" w:cs="Times New Roman"/>
                            <w:color w:val="000001"/>
                            <w:sz w:val="26"/>
                            <w:szCs w:val="26"/>
                            <w:lang w:eastAsia="en-GB"/>
                          </w:rPr>
                          <w:t> be recognised in the constitution and empowered to advise policymakers on issues affecting them – is tangled in polarising attacks and unrelated allegations that threaten to derail decades of work towards reconciliation.</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The referendum’s proposition was always going to be scrutinised and debated, as any change to the constitution should be.</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But when Anthony Albanese </w:t>
                        </w:r>
                        <w:hyperlink r:id="rId9" w:history="1">
                          <w:r w:rsidRPr="00E51891">
                            <w:rPr>
                              <w:rFonts w:ascii="Georgia" w:eastAsia="Times New Roman" w:hAnsi="Georgia" w:cs="Times New Roman"/>
                              <w:b/>
                              <w:bCs/>
                              <w:color w:val="052962"/>
                              <w:sz w:val="26"/>
                              <w:szCs w:val="26"/>
                              <w:u w:val="single"/>
                              <w:lang w:eastAsia="en-GB"/>
                            </w:rPr>
                            <w:t xml:space="preserve">announced the proposed wording at </w:t>
                          </w:r>
                          <w:proofErr w:type="spellStart"/>
                          <w:r w:rsidRPr="00E51891">
                            <w:rPr>
                              <w:rFonts w:ascii="Georgia" w:eastAsia="Times New Roman" w:hAnsi="Georgia" w:cs="Times New Roman"/>
                              <w:b/>
                              <w:bCs/>
                              <w:color w:val="052962"/>
                              <w:sz w:val="26"/>
                              <w:szCs w:val="26"/>
                              <w:u w:val="single"/>
                              <w:lang w:eastAsia="en-GB"/>
                            </w:rPr>
                            <w:t>Garma</w:t>
                          </w:r>
                          <w:proofErr w:type="spellEnd"/>
                          <w:r w:rsidRPr="00E51891">
                            <w:rPr>
                              <w:rFonts w:ascii="Georgia" w:eastAsia="Times New Roman" w:hAnsi="Georgia" w:cs="Times New Roman"/>
                              <w:b/>
                              <w:bCs/>
                              <w:color w:val="052962"/>
                              <w:sz w:val="26"/>
                              <w:szCs w:val="26"/>
                              <w:u w:val="single"/>
                              <w:lang w:eastAsia="en-GB"/>
                            </w:rPr>
                            <w:t xml:space="preserve"> 2022</w:t>
                          </w:r>
                        </w:hyperlink>
                        <w:r w:rsidRPr="00E51891">
                          <w:rPr>
                            <w:rFonts w:ascii="Georgia" w:eastAsia="Times New Roman" w:hAnsi="Georgia" w:cs="Times New Roman"/>
                            <w:color w:val="000001"/>
                            <w:sz w:val="26"/>
                            <w:szCs w:val="26"/>
                            <w:lang w:eastAsia="en-GB"/>
                          </w:rPr>
                          <w:t xml:space="preserve">, flanked by then opposition Indigenous affairs spokesperson Julian </w:t>
                        </w:r>
                        <w:proofErr w:type="spellStart"/>
                        <w:r w:rsidRPr="00E51891">
                          <w:rPr>
                            <w:rFonts w:ascii="Georgia" w:eastAsia="Times New Roman" w:hAnsi="Georgia" w:cs="Times New Roman"/>
                            <w:color w:val="000001"/>
                            <w:sz w:val="26"/>
                            <w:szCs w:val="26"/>
                            <w:lang w:eastAsia="en-GB"/>
                          </w:rPr>
                          <w:t>Leeser</w:t>
                        </w:r>
                        <w:proofErr w:type="spellEnd"/>
                        <w:r w:rsidRPr="00E51891">
                          <w:rPr>
                            <w:rFonts w:ascii="Georgia" w:eastAsia="Times New Roman" w:hAnsi="Georgia" w:cs="Times New Roman"/>
                            <w:color w:val="000001"/>
                            <w:sz w:val="26"/>
                            <w:szCs w:val="26"/>
                            <w:lang w:eastAsia="en-GB"/>
                          </w:rPr>
                          <w:t xml:space="preserve"> “in a spirit of bipartisanship”, it was hard to imagine just how politicised and divisive the “debate” would become.</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 xml:space="preserve">At first the questions raised were genuine points of discussion. Some </w:t>
                        </w:r>
                        <w:r w:rsidRPr="00E51891">
                          <w:rPr>
                            <w:rFonts w:ascii="Georgia" w:eastAsia="Times New Roman" w:hAnsi="Georgia" w:cs="Times New Roman"/>
                            <w:color w:val="000001"/>
                            <w:sz w:val="26"/>
                            <w:szCs w:val="26"/>
                            <w:lang w:eastAsia="en-GB"/>
                          </w:rPr>
                          <w:lastRenderedPageBreak/>
                          <w:t xml:space="preserve">constitutional conservatives, for example, fretted that a constitutionally embedded voice would open the door to legal challenges, a legitimate point to examine, although their concerns were countered by </w:t>
                        </w:r>
                        <w:proofErr w:type="gramStart"/>
                        <w:r w:rsidRPr="00E51891">
                          <w:rPr>
                            <w:rFonts w:ascii="Georgia" w:eastAsia="Times New Roman" w:hAnsi="Georgia" w:cs="Times New Roman"/>
                            <w:color w:val="000001"/>
                            <w:sz w:val="26"/>
                            <w:szCs w:val="26"/>
                            <w:lang w:eastAsia="en-GB"/>
                          </w:rPr>
                          <w:t>a majority of</w:t>
                        </w:r>
                        <w:proofErr w:type="gramEnd"/>
                        <w:r w:rsidRPr="00E51891">
                          <w:rPr>
                            <w:rFonts w:ascii="Georgia" w:eastAsia="Times New Roman" w:hAnsi="Georgia" w:cs="Times New Roman"/>
                            <w:color w:val="000001"/>
                            <w:sz w:val="26"/>
                            <w:szCs w:val="26"/>
                            <w:lang w:eastAsia="en-GB"/>
                          </w:rPr>
                          <w:t xml:space="preserve"> constitutional experts and also the solicitor general. Some took issue with wording that allowed the voice to make representations on a broad range of issues, not only on matters directly pertaining to Indigenous disadvantage.</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Others, like Senator Lidia Thorpe, railed at the plan for being ineffective and not going far enough.</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But after Peter Dutton locked the </w:t>
                        </w:r>
                        <w:hyperlink r:id="rId10" w:history="1">
                          <w:r w:rsidRPr="00E51891">
                            <w:rPr>
                              <w:rFonts w:ascii="Georgia" w:eastAsia="Times New Roman" w:hAnsi="Georgia" w:cs="Times New Roman"/>
                              <w:b/>
                              <w:bCs/>
                              <w:color w:val="052962"/>
                              <w:sz w:val="26"/>
                              <w:szCs w:val="26"/>
                              <w:u w:val="single"/>
                              <w:lang w:eastAsia="en-GB"/>
                            </w:rPr>
                            <w:t>Coalition</w:t>
                          </w:r>
                        </w:hyperlink>
                        <w:r w:rsidRPr="00E51891">
                          <w:rPr>
                            <w:rFonts w:ascii="Georgia" w:eastAsia="Times New Roman" w:hAnsi="Georgia" w:cs="Times New Roman"/>
                            <w:color w:val="000001"/>
                            <w:sz w:val="26"/>
                            <w:szCs w:val="26"/>
                            <w:lang w:eastAsia="en-GB"/>
                          </w:rPr>
                          <w:t> against the voice, parts of the no campaign appeared to take the advice of Frank Underwood, the fictional president in the TV drama House of Cards, when things weren’t going his way: “If you don’t like how the table is set, turn over the table.”</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The straightforward referendum questions were stripped of context and meaning and conflated with unrelated, racially charged assertions, the actual pros and cons lost in the confusion.</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r>
                        <w:hyperlink r:id="rId11" w:history="1">
                          <w:r w:rsidRPr="00E51891">
                            <w:rPr>
                              <w:rFonts w:ascii="Georgia" w:eastAsia="Times New Roman" w:hAnsi="Georgia" w:cs="Times New Roman"/>
                              <w:b/>
                              <w:bCs/>
                              <w:color w:val="052962"/>
                              <w:sz w:val="26"/>
                              <w:szCs w:val="26"/>
                              <w:u w:val="single"/>
                              <w:lang w:eastAsia="en-GB"/>
                            </w:rPr>
                            <w:t>Advised by slick US-based conservative marketing and fundraising campaigners</w:t>
                          </w:r>
                        </w:hyperlink>
                        <w:r w:rsidRPr="00E51891">
                          <w:rPr>
                            <w:rFonts w:ascii="Georgia" w:eastAsia="Times New Roman" w:hAnsi="Georgia" w:cs="Times New Roman"/>
                            <w:color w:val="000001"/>
                            <w:sz w:val="26"/>
                            <w:szCs w:val="26"/>
                            <w:lang w:eastAsia="en-GB"/>
                          </w:rPr>
                          <w:t xml:space="preserve"> and enthusiastically amplified by </w:t>
                        </w:r>
                        <w:proofErr w:type="spellStart"/>
                        <w:r w:rsidRPr="00E51891">
                          <w:rPr>
                            <w:rFonts w:ascii="Georgia" w:eastAsia="Times New Roman" w:hAnsi="Georgia" w:cs="Times New Roman"/>
                            <w:color w:val="000001"/>
                            <w:sz w:val="26"/>
                            <w:szCs w:val="26"/>
                            <w:lang w:eastAsia="en-GB"/>
                          </w:rPr>
                          <w:t>rightwing</w:t>
                        </w:r>
                        <w:proofErr w:type="spellEnd"/>
                        <w:r w:rsidRPr="00E51891">
                          <w:rPr>
                            <w:rFonts w:ascii="Georgia" w:eastAsia="Times New Roman" w:hAnsi="Georgia" w:cs="Times New Roman"/>
                            <w:color w:val="000001"/>
                            <w:sz w:val="26"/>
                            <w:szCs w:val="26"/>
                            <w:lang w:eastAsia="en-GB"/>
                          </w:rPr>
                          <w:t xml:space="preserve"> Australian media, the no case created a wildfire of online outrage, simplistic misrepresentation and false claims of hidden intent.</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The voice would be a “Canberra’’ body, populated by “elites’’, they said, even though the whole idea was to give true representation to communities. The voice concealed a “secret” plan to force the negotiation of a treaty, they claimed. Given that the slogan of the Uluru statement from the heart was “voice, treaty, truth” this aspiration was hardly hidden, but it was always a separate, possible future process.</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The voice would require landowners to “pay the rent” to “Aboriginal councils”, it was alleged </w:t>
                        </w:r>
                        <w:hyperlink r:id="rId12" w:history="1">
                          <w:r w:rsidRPr="00E51891">
                            <w:rPr>
                              <w:rFonts w:ascii="Georgia" w:eastAsia="Times New Roman" w:hAnsi="Georgia" w:cs="Times New Roman"/>
                              <w:b/>
                              <w:bCs/>
                              <w:color w:val="052962"/>
                              <w:sz w:val="26"/>
                              <w:szCs w:val="26"/>
                              <w:u w:val="single"/>
                              <w:lang w:eastAsia="en-GB"/>
                            </w:rPr>
                            <w:t>even though the idea has nothing to do with the referendum</w:t>
                          </w:r>
                        </w:hyperlink>
                        <w:r w:rsidRPr="00E51891">
                          <w:rPr>
                            <w:rFonts w:ascii="Georgia" w:eastAsia="Times New Roman" w:hAnsi="Georgia" w:cs="Times New Roman"/>
                            <w:color w:val="000001"/>
                            <w:sz w:val="26"/>
                            <w:szCs w:val="26"/>
                            <w:lang w:eastAsia="en-GB"/>
                          </w:rPr>
                          <w:t> and the voice would be a nonbinding advisory body which would never be able to enforce such a suggestion, were it ever to be made.</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The Coalition is now raising </w:t>
                        </w:r>
                        <w:hyperlink r:id="rId13" w:history="1">
                          <w:r w:rsidRPr="00E51891">
                            <w:rPr>
                              <w:rFonts w:ascii="Georgia" w:eastAsia="Times New Roman" w:hAnsi="Georgia" w:cs="Times New Roman"/>
                              <w:b/>
                              <w:bCs/>
                              <w:color w:val="052962"/>
                              <w:sz w:val="26"/>
                              <w:szCs w:val="26"/>
                              <w:u w:val="single"/>
                              <w:lang w:eastAsia="en-GB"/>
                            </w:rPr>
                            <w:t>“vote-rigging” claims</w:t>
                          </w:r>
                        </w:hyperlink>
                        <w:r w:rsidRPr="00E51891">
                          <w:rPr>
                            <w:rFonts w:ascii="Georgia" w:eastAsia="Times New Roman" w:hAnsi="Georgia" w:cs="Times New Roman"/>
                            <w:color w:val="000001"/>
                            <w:sz w:val="26"/>
                            <w:szCs w:val="26"/>
                            <w:lang w:eastAsia="en-GB"/>
                          </w:rPr>
                          <w:t> about the long-established rules for referendum ballots, despite voting in favour of the enabling legislation that might have changed those rules earlier this year and despite the claim being “completely and utterly” rejected by the electoral commission.</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The attacks against yes campaigners have at times </w:t>
                        </w:r>
                        <w:hyperlink r:id="rId14" w:history="1">
                          <w:r w:rsidRPr="00E51891">
                            <w:rPr>
                              <w:rFonts w:ascii="Georgia" w:eastAsia="Times New Roman" w:hAnsi="Georgia" w:cs="Times New Roman"/>
                              <w:b/>
                              <w:bCs/>
                              <w:color w:val="052962"/>
                              <w:sz w:val="26"/>
                              <w:szCs w:val="26"/>
                              <w:u w:val="single"/>
                              <w:lang w:eastAsia="en-GB"/>
                            </w:rPr>
                            <w:t xml:space="preserve">become shockingly </w:t>
                          </w:r>
                          <w:r w:rsidRPr="00E51891">
                            <w:rPr>
                              <w:rFonts w:ascii="Georgia" w:eastAsia="Times New Roman" w:hAnsi="Georgia" w:cs="Times New Roman"/>
                              <w:b/>
                              <w:bCs/>
                              <w:color w:val="052962"/>
                              <w:sz w:val="26"/>
                              <w:szCs w:val="26"/>
                              <w:u w:val="single"/>
                              <w:lang w:eastAsia="en-GB"/>
                            </w:rPr>
                            <w:lastRenderedPageBreak/>
                            <w:t>personal</w:t>
                          </w:r>
                        </w:hyperlink>
                        <w:r w:rsidRPr="00E51891">
                          <w:rPr>
                            <w:rFonts w:ascii="Georgia" w:eastAsia="Times New Roman" w:hAnsi="Georgia" w:cs="Times New Roman"/>
                            <w:color w:val="000001"/>
                            <w:sz w:val="26"/>
                            <w:szCs w:val="26"/>
                            <w:lang w:eastAsia="en-GB"/>
                          </w:rPr>
                          <w:t> and the no campaign has refused to disavow offensive and racially charged statements from its own office holders.</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And yet it insists division is caused by the voice proposition itself – the culmination of years of thought and goodwill discussions about how to advance Australian unity and shift Indigenous disadvantage – and not by the campaign they are waging against it. </w:t>
                        </w:r>
                        <w:hyperlink r:id="rId15" w:history="1">
                          <w:r w:rsidRPr="00E51891">
                            <w:rPr>
                              <w:rFonts w:ascii="Georgia" w:eastAsia="Times New Roman" w:hAnsi="Georgia" w:cs="Times New Roman"/>
                              <w:b/>
                              <w:bCs/>
                              <w:color w:val="052962"/>
                              <w:sz w:val="26"/>
                              <w:szCs w:val="26"/>
                              <w:u w:val="single"/>
                              <w:lang w:eastAsia="en-GB"/>
                            </w:rPr>
                            <w:t>The “divisive” line worked in the focus groups</w:t>
                          </w:r>
                        </w:hyperlink>
                        <w:r w:rsidRPr="00E51891">
                          <w:rPr>
                            <w:rFonts w:ascii="Georgia" w:eastAsia="Times New Roman" w:hAnsi="Georgia" w:cs="Times New Roman"/>
                            <w:color w:val="000001"/>
                            <w:sz w:val="26"/>
                            <w:szCs w:val="26"/>
                            <w:lang w:eastAsia="en-GB"/>
                          </w:rPr>
                          <w:t>, the no campaign says and, according to the published polls, it is indeed a claim gaining traction.</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The speed and virality of the no attack seemed to catch the yes side flat-footed. Determined to run a positive campaign, and to not get side-tracked, it left claims unanswered. Because the referendum is asking Australians to vote on the principle of a voice, with its exact makeup to then be determined by parliament, the detail was, by definition, unexplained, leading to the charge that Australians are being asked to vote for a “blank cheque”.</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But the no campaign has no clear alternative plan on the table. Dutton supports local and regional voices, with no explanation as to how what they say might be heard. The National party is unsure about even that idea. Neither can explain how the alleged “divisiveness” of a voice only applies if the institution is enshrined in the constitution, but somehow does not apply if it is legislated. Nor is it clear why they oppose this change to the constitution on the basis that it “divides us by race” but happily accept the existing constitutional race power.</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 xml:space="preserve">The no camp says the voice is a “power grab” by </w:t>
                        </w:r>
                        <w:proofErr w:type="spellStart"/>
                        <w:r w:rsidRPr="00E51891">
                          <w:rPr>
                            <w:rFonts w:ascii="Georgia" w:eastAsia="Times New Roman" w:hAnsi="Georgia" w:cs="Times New Roman"/>
                            <w:color w:val="000001"/>
                            <w:sz w:val="26"/>
                            <w:szCs w:val="26"/>
                            <w:lang w:eastAsia="en-GB"/>
                          </w:rPr>
                          <w:t>leftwing</w:t>
                        </w:r>
                        <w:proofErr w:type="spellEnd"/>
                        <w:r w:rsidRPr="00E51891">
                          <w:rPr>
                            <w:rFonts w:ascii="Georgia" w:eastAsia="Times New Roman" w:hAnsi="Georgia" w:cs="Times New Roman"/>
                            <w:color w:val="000001"/>
                            <w:sz w:val="26"/>
                            <w:szCs w:val="26"/>
                            <w:lang w:eastAsia="en-GB"/>
                          </w:rPr>
                          <w:t xml:space="preserve"> activists, despite being developed through deep consultation with politicians from all parties, despite still being backed by prominent Liberals in and out of parliament, and despite having no power other than the proffering of advice.</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But all these obvious contradictions are at risk of being drowned out by the slogan “Say no to the divisive voice”.</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At the recent CPAC conference, Matthew Sheahan, the director of the conservative campaign group Advance, </w:t>
                        </w:r>
                        <w:hyperlink r:id="rId16" w:history="1">
                          <w:r w:rsidRPr="00E51891">
                            <w:rPr>
                              <w:rFonts w:ascii="Georgia" w:eastAsia="Times New Roman" w:hAnsi="Georgia" w:cs="Times New Roman"/>
                              <w:b/>
                              <w:bCs/>
                              <w:color w:val="052962"/>
                              <w:sz w:val="26"/>
                              <w:szCs w:val="26"/>
                              <w:u w:val="single"/>
                              <w:lang w:eastAsia="en-GB"/>
                            </w:rPr>
                            <w:t>boasted that his campaign had taken advantage of voter confusion</w:t>
                          </w:r>
                        </w:hyperlink>
                        <w:r w:rsidRPr="00E51891">
                          <w:rPr>
                            <w:rFonts w:ascii="Georgia" w:eastAsia="Times New Roman" w:hAnsi="Georgia" w:cs="Times New Roman"/>
                            <w:color w:val="000001"/>
                            <w:sz w:val="26"/>
                            <w:szCs w:val="26"/>
                            <w:lang w:eastAsia="en-GB"/>
                          </w:rPr>
                          <w:t> to “shape the conversation” and get the government “caught up” in the issues it raised.</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He’s right. They have.</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 xml:space="preserve">Australians now have six weeks to hear the arguments for and against the proposition they are </w:t>
                        </w:r>
                        <w:proofErr w:type="gramStart"/>
                        <w:r w:rsidRPr="00E51891">
                          <w:rPr>
                            <w:rFonts w:ascii="Georgia" w:eastAsia="Times New Roman" w:hAnsi="Georgia" w:cs="Times New Roman"/>
                            <w:color w:val="000001"/>
                            <w:sz w:val="26"/>
                            <w:szCs w:val="26"/>
                            <w:lang w:eastAsia="en-GB"/>
                          </w:rPr>
                          <w:t>actually being</w:t>
                        </w:r>
                        <w:proofErr w:type="gramEnd"/>
                        <w:r w:rsidRPr="00E51891">
                          <w:rPr>
                            <w:rFonts w:ascii="Georgia" w:eastAsia="Times New Roman" w:hAnsi="Georgia" w:cs="Times New Roman"/>
                            <w:color w:val="000001"/>
                            <w:sz w:val="26"/>
                            <w:szCs w:val="26"/>
                            <w:lang w:eastAsia="en-GB"/>
                          </w:rPr>
                          <w:t xml:space="preserve"> asked to vote for, an idea described by the Uluru statement as a chance to embrace a “fuller expression of </w:t>
                        </w:r>
                        <w:r w:rsidRPr="00E51891">
                          <w:rPr>
                            <w:rFonts w:ascii="Georgia" w:eastAsia="Times New Roman" w:hAnsi="Georgia" w:cs="Times New Roman"/>
                            <w:color w:val="000001"/>
                            <w:sz w:val="26"/>
                            <w:szCs w:val="26"/>
                            <w:lang w:eastAsia="en-GB"/>
                          </w:rPr>
                          <w:lastRenderedPageBreak/>
                          <w:t>Australia’s nationhood”.</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It is a decision with consequences far beyond immediate partisan advantage, above all for the lives of Indigenous Australians. It is a decision that should be taken carefully, with consideration of the arguments rather than slogans or memes.</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 xml:space="preserve">This is a decision that deserves to be made </w:t>
                        </w:r>
                        <w:proofErr w:type="gramStart"/>
                        <w:r w:rsidRPr="00E51891">
                          <w:rPr>
                            <w:rFonts w:ascii="Georgia" w:eastAsia="Times New Roman" w:hAnsi="Georgia" w:cs="Times New Roman"/>
                            <w:color w:val="000001"/>
                            <w:sz w:val="26"/>
                            <w:szCs w:val="26"/>
                            <w:lang w:eastAsia="en-GB"/>
                          </w:rPr>
                          <w:t>on the basis of</w:t>
                        </w:r>
                        <w:proofErr w:type="gramEnd"/>
                        <w:r w:rsidRPr="00E51891">
                          <w:rPr>
                            <w:rFonts w:ascii="Georgia" w:eastAsia="Times New Roman" w:hAnsi="Georgia" w:cs="Times New Roman"/>
                            <w:color w:val="000001"/>
                            <w:sz w:val="26"/>
                            <w:szCs w:val="26"/>
                            <w:lang w:eastAsia="en-GB"/>
                          </w:rPr>
                          <w:t xml:space="preserve"> facts, not fear. It’s thanks to supporters like you that we can make this possible through comprehensive, </w:t>
                        </w:r>
                        <w:hyperlink r:id="rId17" w:history="1">
                          <w:r w:rsidRPr="00E51891">
                            <w:rPr>
                              <w:rFonts w:ascii="Georgia" w:eastAsia="Times New Roman" w:hAnsi="Georgia" w:cs="Times New Roman"/>
                              <w:b/>
                              <w:bCs/>
                              <w:color w:val="052962"/>
                              <w:sz w:val="26"/>
                              <w:szCs w:val="26"/>
                              <w:u w:val="single"/>
                              <w:lang w:eastAsia="en-GB"/>
                            </w:rPr>
                            <w:t>independent and reliable reporting</w:t>
                          </w:r>
                        </w:hyperlink>
                        <w:r w:rsidRPr="00E51891">
                          <w:rPr>
                            <w:rFonts w:ascii="Georgia" w:eastAsia="Times New Roman" w:hAnsi="Georgia" w:cs="Times New Roman"/>
                            <w:color w:val="000001"/>
                            <w:sz w:val="26"/>
                            <w:szCs w:val="26"/>
                            <w:lang w:eastAsia="en-GB"/>
                          </w:rPr>
                          <w:t>.</w:t>
                        </w:r>
                      </w:p>
                    </w:tc>
                  </w:tr>
                  <w:tr w:rsidR="00E51891" w:rsidRPr="00E51891" w14:paraId="0CE5BA55" w14:textId="77777777">
                    <w:trPr>
                      <w:tblCellSpacing w:w="0" w:type="dxa"/>
                    </w:trPr>
                    <w:tc>
                      <w:tcPr>
                        <w:tcW w:w="0" w:type="auto"/>
                        <w:tcMar>
                          <w:top w:w="450" w:type="dxa"/>
                          <w:left w:w="75" w:type="dxa"/>
                          <w:bottom w:w="600"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2194"/>
                        </w:tblGrid>
                        <w:tr w:rsidR="00E51891" w:rsidRPr="00E51891" w14:paraId="7ADB177E" w14:textId="77777777">
                          <w:trPr>
                            <w:tblCellSpacing w:w="0" w:type="dxa"/>
                          </w:trPr>
                          <w:tc>
                            <w:tcPr>
                              <w:tcW w:w="0" w:type="auto"/>
                              <w:vAlign w:val="center"/>
                              <w:hideMark/>
                            </w:tcPr>
                            <w:p w14:paraId="4147CEF3" w14:textId="77777777" w:rsidR="00E51891" w:rsidRPr="00E51891" w:rsidRDefault="00E51891" w:rsidP="00E51891">
                              <w:pPr>
                                <w:spacing w:line="315" w:lineRule="atLeast"/>
                                <w:rPr>
                                  <w:rFonts w:ascii="Georgia" w:eastAsia="Times New Roman" w:hAnsi="Georgia" w:cs="Times New Roman"/>
                                  <w:color w:val="000001"/>
                                  <w:sz w:val="26"/>
                                  <w:szCs w:val="26"/>
                                  <w:lang w:eastAsia="en-GB"/>
                                </w:rPr>
                              </w:pPr>
                              <w:r w:rsidRPr="00E51891">
                                <w:rPr>
                                  <w:rFonts w:ascii="Georgia" w:eastAsia="Times New Roman" w:hAnsi="Georgia" w:cs="Times New Roman"/>
                                  <w:b/>
                                  <w:bCs/>
                                  <w:color w:val="000001"/>
                                  <w:sz w:val="26"/>
                                  <w:szCs w:val="26"/>
                                  <w:lang w:eastAsia="en-GB"/>
                                </w:rPr>
                                <w:lastRenderedPageBreak/>
                                <w:t>Lenore Taylor</w:t>
                              </w:r>
                              <w:r w:rsidRPr="00E51891">
                                <w:rPr>
                                  <w:rFonts w:ascii="Georgia" w:eastAsia="Times New Roman" w:hAnsi="Georgia" w:cs="Times New Roman"/>
                                  <w:color w:val="000001"/>
                                  <w:sz w:val="26"/>
                                  <w:szCs w:val="26"/>
                                  <w:lang w:eastAsia="en-GB"/>
                                </w:rPr>
                                <w:br/>
                              </w:r>
                              <w:r w:rsidRPr="00E51891">
                                <w:rPr>
                                  <w:rFonts w:ascii="Georgia" w:eastAsia="Times New Roman" w:hAnsi="Georgia" w:cs="Times New Roman"/>
                                  <w:color w:val="000001"/>
                                  <w:sz w:val="26"/>
                                  <w:szCs w:val="26"/>
                                  <w:lang w:eastAsia="en-GB"/>
                                </w:rPr>
                                <w:br/>
                                <w:t>Editor</w:t>
                              </w:r>
                              <w:r w:rsidRPr="00E51891">
                                <w:rPr>
                                  <w:rFonts w:ascii="Georgia" w:eastAsia="Times New Roman" w:hAnsi="Georgia" w:cs="Times New Roman"/>
                                  <w:color w:val="000001"/>
                                  <w:sz w:val="26"/>
                                  <w:szCs w:val="26"/>
                                  <w:lang w:eastAsia="en-GB"/>
                                </w:rPr>
                                <w:br/>
                                <w:t>Guardian Australia</w:t>
                              </w:r>
                            </w:p>
                          </w:tc>
                        </w:tr>
                      </w:tbl>
                      <w:p w14:paraId="42212719" w14:textId="77777777" w:rsidR="00E51891" w:rsidRPr="00E51891" w:rsidRDefault="00E51891" w:rsidP="00E51891">
                        <w:pPr>
                          <w:rPr>
                            <w:rFonts w:ascii="Times New Roman" w:eastAsia="Times New Roman" w:hAnsi="Times New Roman" w:cs="Times New Roman"/>
                            <w:sz w:val="24"/>
                            <w:lang w:eastAsia="en-GB"/>
                          </w:rPr>
                        </w:pPr>
                      </w:p>
                    </w:tc>
                  </w:tr>
                </w:tbl>
                <w:p w14:paraId="642A16F5" w14:textId="77777777" w:rsidR="00E51891" w:rsidRPr="00E51891" w:rsidRDefault="00E51891" w:rsidP="00E51891">
                  <w:pPr>
                    <w:rPr>
                      <w:rFonts w:ascii="Times New Roman" w:eastAsia="Times New Roman" w:hAnsi="Times New Roman" w:cs="Times New Roman"/>
                      <w:sz w:val="24"/>
                      <w:lang w:eastAsia="en-GB"/>
                    </w:rPr>
                  </w:pPr>
                </w:p>
              </w:tc>
            </w:tr>
            <w:tr w:rsidR="00E51891" w:rsidRPr="00E51891" w14:paraId="5CD18723" w14:textId="77777777">
              <w:trPr>
                <w:tblCellSpacing w:w="0" w:type="dxa"/>
              </w:trPr>
              <w:tc>
                <w:tcPr>
                  <w:tcW w:w="0" w:type="auto"/>
                  <w:vAlign w:val="center"/>
                  <w:hideMark/>
                </w:tcPr>
                <w:p w14:paraId="7D165541" w14:textId="70633EEE" w:rsidR="00E51891" w:rsidRPr="00E51891" w:rsidRDefault="00E51891" w:rsidP="00E51891">
                  <w:pPr>
                    <w:spacing w:line="0" w:lineRule="atLeast"/>
                    <w:rPr>
                      <w:rFonts w:ascii="Times New Roman" w:eastAsia="Times New Roman" w:hAnsi="Times New Roman" w:cs="Times New Roman"/>
                      <w:sz w:val="2"/>
                      <w:szCs w:val="2"/>
                      <w:lang w:eastAsia="en-GB"/>
                    </w:rPr>
                  </w:pPr>
                  <w:r w:rsidRPr="00E51891">
                    <w:rPr>
                      <w:rFonts w:ascii="Times New Roman" w:eastAsia="Times New Roman" w:hAnsi="Times New Roman" w:cs="Times New Roman"/>
                      <w:noProof/>
                      <w:color w:val="052962"/>
                      <w:sz w:val="2"/>
                      <w:szCs w:val="2"/>
                      <w:lang w:eastAsia="en-GB"/>
                    </w:rPr>
                    <w:lastRenderedPageBreak/>
                    <w:drawing>
                      <wp:inline distT="0" distB="0" distL="0" distR="0" wp14:anchorId="1F301205" wp14:editId="603F1DB3">
                        <wp:extent cx="5731510" cy="666115"/>
                        <wp:effectExtent l="0" t="0" r="0" b="0"/>
                        <wp:docPr id="1838011179" name="Picture 1" descr="Guardian">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ardian">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666115"/>
                                </a:xfrm>
                                <a:prstGeom prst="rect">
                                  <a:avLst/>
                                </a:prstGeom>
                                <a:noFill/>
                                <a:ln>
                                  <a:noFill/>
                                </a:ln>
                              </pic:spPr>
                            </pic:pic>
                          </a:graphicData>
                        </a:graphic>
                      </wp:inline>
                    </w:drawing>
                  </w:r>
                </w:p>
              </w:tc>
            </w:tr>
            <w:tr w:rsidR="00E51891" w:rsidRPr="00E51891" w14:paraId="62209423" w14:textId="77777777">
              <w:trPr>
                <w:tblCellSpacing w:w="0" w:type="dxa"/>
              </w:trPr>
              <w:tc>
                <w:tcPr>
                  <w:tcW w:w="0" w:type="auto"/>
                  <w:tcMar>
                    <w:top w:w="375" w:type="dxa"/>
                    <w:left w:w="375" w:type="dxa"/>
                    <w:bottom w:w="375" w:type="dxa"/>
                    <w:right w:w="375" w:type="dxa"/>
                  </w:tcMar>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E51891" w:rsidRPr="00E51891" w14:paraId="64FCB697" w14:textId="77777777">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E51891" w:rsidRPr="00E51891" w14:paraId="6DBF8600" w14:textId="77777777">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E51891" w:rsidRPr="00E51891" w14:paraId="6CB1B664" w14:textId="77777777">
                                <w:trPr>
                                  <w:jc w:val="center"/>
                                </w:trPr>
                                <w:tc>
                                  <w:tcPr>
                                    <w:tcW w:w="0" w:type="auto"/>
                                    <w:shd w:val="clear" w:color="auto" w:fill="FFFFFF"/>
                                    <w:vAlign w:val="center"/>
                                    <w:hideMark/>
                                  </w:tcPr>
                                  <w:p w14:paraId="6D3A3289" w14:textId="77777777" w:rsidR="00E51891" w:rsidRPr="00E51891" w:rsidRDefault="00E51891" w:rsidP="00E51891">
                                    <w:pPr>
                                      <w:rPr>
                                        <w:rFonts w:ascii="Times New Roman" w:eastAsia="Times New Roman" w:hAnsi="Times New Roman" w:cs="Times New Roman"/>
                                        <w:sz w:val="24"/>
                                        <w:lang w:eastAsia="en-GB"/>
                                      </w:rPr>
                                    </w:pPr>
                                    <w:r w:rsidRPr="00E51891">
                                      <w:rPr>
                                        <w:rFonts w:ascii="Times New Roman" w:eastAsia="Times New Roman" w:hAnsi="Times New Roman" w:cs="Times New Roman"/>
                                        <w:sz w:val="24"/>
                                        <w:lang w:eastAsia="en-GB"/>
                                      </w:rPr>
                                      <w:t> </w:t>
                                    </w:r>
                                  </w:p>
                                </w:tc>
                              </w:tr>
                            </w:tbl>
                            <w:p w14:paraId="78AF077F" w14:textId="77777777" w:rsidR="00E51891" w:rsidRPr="00E51891" w:rsidRDefault="00E51891" w:rsidP="00E51891">
                              <w:pPr>
                                <w:rPr>
                                  <w:rFonts w:ascii="Times New Roman" w:eastAsia="Times New Roman" w:hAnsi="Times New Roman" w:cs="Times New Roman"/>
                                  <w:sz w:val="24"/>
                                  <w:lang w:eastAsia="en-GB"/>
                                </w:rPr>
                              </w:pPr>
                            </w:p>
                          </w:tc>
                        </w:tr>
                      </w:tbl>
                      <w:p w14:paraId="6784995F" w14:textId="77777777" w:rsidR="00E51891" w:rsidRPr="00E51891" w:rsidRDefault="00E51891" w:rsidP="00E51891">
                        <w:pPr>
                          <w:rPr>
                            <w:rFonts w:ascii="Times New Roman" w:eastAsia="Times New Roman" w:hAnsi="Times New Roman" w:cs="Times New Roman"/>
                            <w:sz w:val="24"/>
                            <w:lang w:eastAsia="en-GB"/>
                          </w:rPr>
                        </w:pPr>
                      </w:p>
                    </w:tc>
                  </w:tr>
                </w:tbl>
                <w:p w14:paraId="4DF599F8" w14:textId="77777777" w:rsidR="00E51891" w:rsidRPr="00E51891" w:rsidRDefault="00E51891" w:rsidP="00E51891">
                  <w:pPr>
                    <w:spacing w:line="270" w:lineRule="atLeast"/>
                    <w:jc w:val="center"/>
                    <w:rPr>
                      <w:rFonts w:ascii="Georgia" w:eastAsia="Times New Roman" w:hAnsi="Georgia" w:cs="Times New Roman"/>
                      <w:color w:val="000001"/>
                      <w:sz w:val="21"/>
                      <w:szCs w:val="21"/>
                      <w:lang w:eastAsia="en-GB"/>
                    </w:rPr>
                  </w:pPr>
                </w:p>
              </w:tc>
            </w:tr>
          </w:tbl>
          <w:p w14:paraId="16DFE2C7" w14:textId="77777777" w:rsidR="00E51891" w:rsidRPr="00E51891" w:rsidRDefault="00E51891" w:rsidP="00E51891">
            <w:pPr>
              <w:spacing w:line="0" w:lineRule="atLeast"/>
              <w:rPr>
                <w:rFonts w:ascii="Avenir-Book" w:eastAsia="Times New Roman" w:hAnsi="Avenir-Book" w:cs="Times New Roman"/>
                <w:sz w:val="2"/>
                <w:szCs w:val="2"/>
                <w:lang w:eastAsia="en-GB"/>
              </w:rPr>
            </w:pPr>
          </w:p>
        </w:tc>
      </w:tr>
    </w:tbl>
    <w:p w14:paraId="770269AB" w14:textId="77777777" w:rsidR="00E00734" w:rsidRDefault="00E00734"/>
    <w:sectPr w:rsidR="00E007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venir-Book">
    <w:altName w:val="Avenir"/>
    <w:panose1 w:val="02000503020000020003"/>
    <w:charset w:val="00"/>
    <w:family w:val="auto"/>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891"/>
    <w:rsid w:val="00024F5C"/>
    <w:rsid w:val="00036E84"/>
    <w:rsid w:val="00B77F86"/>
    <w:rsid w:val="00E00734"/>
    <w:rsid w:val="00E518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3E04C2D"/>
  <w15:chartTrackingRefBased/>
  <w15:docId w15:val="{F600D938-D613-6E43-BD07-C43DDA2B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Theme="minorHAnsi" w:hAnsi="Avenir" w:cs="Times New Roman (Body CS)"/>
        <w:sz w:val="22"/>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1891"/>
    <w:rPr>
      <w:b/>
      <w:bCs/>
    </w:rPr>
  </w:style>
  <w:style w:type="character" w:customStyle="1" w:styleId="apple-converted-space">
    <w:name w:val="apple-converted-space"/>
    <w:basedOn w:val="DefaultParagraphFont"/>
    <w:rsid w:val="00E51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040951">
      <w:bodyDiv w:val="1"/>
      <w:marLeft w:val="0"/>
      <w:marRight w:val="0"/>
      <w:marTop w:val="0"/>
      <w:marBottom w:val="0"/>
      <w:divBdr>
        <w:top w:val="none" w:sz="0" w:space="0" w:color="auto"/>
        <w:left w:val="none" w:sz="0" w:space="0" w:color="auto"/>
        <w:bottom w:val="none" w:sz="0" w:space="0" w:color="auto"/>
        <w:right w:val="none" w:sz="0" w:space="0" w:color="auto"/>
      </w:divBdr>
      <w:divsChild>
        <w:div w:id="1848709240">
          <w:marLeft w:val="0"/>
          <w:marRight w:val="0"/>
          <w:marTop w:val="0"/>
          <w:marBottom w:val="0"/>
          <w:divBdr>
            <w:top w:val="none" w:sz="0" w:space="0" w:color="auto"/>
            <w:left w:val="none" w:sz="0" w:space="0" w:color="auto"/>
            <w:bottom w:val="none" w:sz="0" w:space="0" w:color="auto"/>
            <w:right w:val="none" w:sz="0" w:space="0" w:color="auto"/>
          </w:divBdr>
          <w:divsChild>
            <w:div w:id="210634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link.editorial.theguardian.com/ss/c/TBl-lE0k4WbTlFRn6v-lQXxTpTslqnvUsR2ofAkC00teaEyrmTsqTYt4WzwfOgB3vvy7HSU7cWvfzl1veL091oZwB75aiP4xpL0r52ESNLV4lnzVKykq6EVjmYwOp-fphpOny7BUefb2Hf34-fmCehY4pMp6TYlGRhh45O7uFwDRuWtMAkhFW7XiFHuSKmdW5sN6eIjGNU3NhJu-T7muroguEVD6zhhOkXM9GMGZ0jm4083jm_W1GnQMpb1WKQMW/3zd/K6fIp8fTQ0KejyD4xAzxUQ/h21/w5KLYgMAHUKS_daHR4wubE5uDEm7ZyAey7KBfU_3C9o" TargetMode="External"/><Relationship Id="rId13" Type="http://schemas.openxmlformats.org/officeDocument/2006/relationships/hyperlink" Target="https://ablink.editorial.theguardian.com/ss/c/TBl-lE0k4WbTlFRn6v-lQXxTpTslqnvUsR2ofAkC00teaEyrmTsqTYt4WzwfOgB3LrmyLFWJymwJm_5DxapccaDC4D5BtX64ZiNvMAbFUlycQGpLlY8XEHOxA2A8LQJ6haP57RlwdxaMfUNJzA5zCQz6W-U7UL77fE-qaL3m4yP8VLOFOBBLkdWktbbaFPd_hMWUYXwmtUEc8RKVQYUgNwcwCerMUK4nK5bU5y0F3R3twZXzTCsdzjIoFXlE0WZDKbj7blH4JaZxuXKqyLRuM2C5ITx5wDQoY7mm-7nVwuMlUfE_wIlH9DiJXNBkVr-YdQcjmorWRH2GjJoBGpL7CnQ_btilshUFU81hxTo5JzE/3zd/K6fIp8fTQ0KejyD4xAzxUQ/h26/0Jjpdj1FRourOVVCp6uRUGTGy74WlPas5LE1imDE9yo" TargetMode="External"/><Relationship Id="rId18" Type="http://schemas.openxmlformats.org/officeDocument/2006/relationships/hyperlink" Target="https://ablink.editorial.theguardian.com/ss/c/TBl-lE0k4WbTlFRn6v-lQXxTpTslqnvUsR2ofAkC00uydi5sPq59urWTfkQbpYLQ2Uw00hhIDxNIvzZancbHKNU8E5q1SRU_a6BsJZYBkpslwKbyS1IVSjrhpzpmvO0BJaJ-j4SHfthJnJ0y1wjIfxWrg6aVzt7FskE4h99Jjq7MQnyBtjWLskTrdc5rLAxOeVkjJ7yW0M9iZYXoOWt1og/3zd/K6fIp8fTQ0KejyD4xAzxUQ/h31/7HQhusKWVUlSZ4kPqYuoPthT336rSuq7LNf_FdCRy6o"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ablink.editorial.theguardian.com/ss/c/pZd8Iy8L8IDWITyZn4LqvRbL6HEHDdW4NvTeb514TCb-5Q2ptCCj-L00x6WAwjiD1eKneGYpws9z-sqsBSeZUUqlRiFe4ZPyOtDkgNZSGm4eyTGVx5paSF8jqA54CYFotHDnIfXG9JKV_5DmIAsKDE7hV6R8hhzkp7fgXmYndvkswfUGGB1FqzHNvYTiPDcZGak_zJKOFKtW3HeXh08e7UchwJIA23x5EPy5pOk6DWg/3zd/K6fIp8fTQ0KejyD4xAzxUQ/h20/H9m4BZQTqWE49X63_KSDW4klpU9frxdjkdLHEmtboIc" TargetMode="External"/><Relationship Id="rId12" Type="http://schemas.openxmlformats.org/officeDocument/2006/relationships/hyperlink" Target="https://ablink.editorial.theguardian.com/ss/c/TBl-lE0k4WbTlFRn6v-lQbgMmJP_Nqmg-HbQzMOy7jepbR-tgbekoMEOm-fOIqSTpIGGtsZRd_e3OLXlI-SsOhb9N8Il7G2Slv8JrbXUD3d6FbIzfsiUq12a4hQbCHkd2GwM0v7pRmqSqQO1qF-bHxTQWkNotNQg-Dh_sPoKASCBDcPanH4uHUkedKr6dCLao45H1L5zJPXfSopXz7y5A1k3RVobXt8GXeFZhfYKNLxEVB1K930KJxpc1p6CfYoa0chgqhJ2slNNS0vc76Varg/3zd/K6fIp8fTQ0KejyD4xAzxUQ/h25/1CnOTrlTbJrvGnd_B-TKa_I51XmnfZPw6gmbVaF2V-Y" TargetMode="External"/><Relationship Id="rId17" Type="http://schemas.openxmlformats.org/officeDocument/2006/relationships/hyperlink" Target="https://ablink.editorial.theguardian.com/ss/c/TBl-lE0k4WbTlFRn6v-lQXxTpTslqnvUsR2ofAkC00teaEyrmTsqTYt4WzwfOgB3416b_Gm0mVp28XXao-X5VBSST_wVwh1Hp6bQVSLVTKCGOT6NS9QTEvUlM1-TLf35oKFS-VhKSNfvLWz79t5tGOsolwz8bDLIQPUT_0AE72Ds49hbv9FEGggQomEvcKgee6-0JPpZ3OUUiuvv4BieCu_gWWLnkm_Zvleo-RnMuyFAJZcrzWJeMid6c-safAokpJknLyGCLwC8Sf6KoY9MaA/3zd/K6fIp8fTQ0KejyD4xAzxUQ/h30/4anUfnr0sukPFJAXkGVITjM6lGFVc0C1Qv9V2yE0k04" TargetMode="External"/><Relationship Id="rId2" Type="http://schemas.openxmlformats.org/officeDocument/2006/relationships/settings" Target="settings.xml"/><Relationship Id="rId16" Type="http://schemas.openxmlformats.org/officeDocument/2006/relationships/hyperlink" Target="https://ablink.editorial.theguardian.com/ss/c/TBl-lE0k4WbTlFRn6v-lQXxTpTslqnvUsR2ofAkC00teaEyrmTsqTYt4WzwfOgB3ZvVeU_3tFMlbaaPqixn2O71pKQzwlG6HpBW9RfZ_fDmMlniWOOkV7qzYTqprafVVnS_JfTPSR9OH1onv6IrIU9EHHwkW-xuWe6b_SYTqxWB9K4XE1h-OsJunw-oRR3LVF5f6fZ-hEvIMwMGOFa8WC_8dpR-vOT8eOzaxWQRtaf16HeGJgPAggcyI-YguEMH_NdzQliV0Mf78ZsSS8FIX31GI0QWW6E0Rqu7nzdZ4JCb_Hwi5pOp6meGesOZBRZwZvCNm-EndpX_PTAuZpb-Llq61Tue1eoZMdf91ZzM6IXMrsUjqP_RW5fj7wPktjBGe/3zd/K6fIp8fTQ0KejyD4xAzxUQ/h29/bES0HRqgNEIMgFtXi7hFOmAqH984ruMsY_IQjgoyQR4"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ablink.editorial.theguardian.com/ss/c/TBl-lE0k4WbTlFRn6v-lQXxTpTslqnvUsR2ofAkC00teaEyrmTsqTYt4WzwfOgB3XKyWgXSZkVHMSVEJFQRqNADcb4-19e-wvNQqg5G_ELVVEMTdhnKAS53yls_vxl6u0Pw9urPLTcfNy12NAACzttNlfRSSVFTMgJmwAHEsMVs8HinNrZwDzL4FOzAf9AoDfI0UGkRdpMa-R2SPgBtTa01UVyvlX_OLMt6fFSaoFa9lekYjim2OME4n7_RMbev5J8ffnvbGy-gzIutjP3ZDu2m0QnCxqIfn6iV-KK5giPCELp72KOClwBallRDucGQ12pDApysmWhk2AvEYnehwHg/3zd/K6fIp8fTQ0KejyD4xAzxUQ/h24/OBFqb5I8qxZKIYlRzBRG1oFiZLiXZKQAL-BHcjHmn2s" TargetMode="External"/><Relationship Id="rId5" Type="http://schemas.openxmlformats.org/officeDocument/2006/relationships/image" Target="media/image1.png"/><Relationship Id="rId15" Type="http://schemas.openxmlformats.org/officeDocument/2006/relationships/hyperlink" Target="https://ablink.editorial.theguardian.com/ss/c/TBl-lE0k4WbTlFRn6v-lQXxTpTslqnvUsR2ofAkC00teaEyrmTsqTYt4WzwfOgB3ZvVeU_3tFMlbaaPqixn2O71pKQzwlG6HpBW9RfZ_fDmMlniWOOkV7qzYTqprafVVnS_JfTPSR9OH1onv6IrIU9EHHwkW-xuWe6b_SYTqxWB9K4XE1h-OsJunw-oRR3LVF5f6fZ-hEvIMwMGOFa8WC_8dpR-vOT8eOzaxWQRtaf16HeGJgPAggcyI-YguEMH_NdzQliV0Mf78ZsSS8FIX31GI0QWW6E0Rqu7nzdZ4JCb_Hwi5pOp6meGesOZBRZwZvCNm-EndpX_PTAuZpb-Llq61Tue1eoZMdf91ZzM6IXMrsUjqP_RW5fj7wPktjBGe/3zd/K6fIp8fTQ0KejyD4xAzxUQ/h28/FrOpVQhPn0HhEXgv__Pxq43K_ptQoUv5Xr6OEH_4hEw" TargetMode="External"/><Relationship Id="rId10" Type="http://schemas.openxmlformats.org/officeDocument/2006/relationships/hyperlink" Target="https://ablink.editorial.theguardian.com/ss/c/TBl-lE0k4WbTlFRn6v-lQXxTpTslqnvUsR2ofAkC00teaEyrmTsqTYt4WzwfOgB3UhAm4KrKoHcp4WgRq04xXUwOtwSjtX6fkjMnqVXM0UhpWlRAnrHMYLBruClfWSm8ucYDX55RSHTefGD0j7QiUFUa0oSaGzMbFqJtuEOgNgOzngc3C34jPkDmtzbiSmemA8IaiG4iJMBPeqCJjUcckdTE5OfDPnTCJrkmSeg-a_ukDmCOx6hkGnGTkWGvBmeJ/3zd/K6fIp8fTQ0KejyD4xAzxUQ/h23/gSBW-p409ti_uf2TyZvVHa-kxK-oRNd2MeBARr0TsVE" TargetMode="External"/><Relationship Id="rId19" Type="http://schemas.openxmlformats.org/officeDocument/2006/relationships/image" Target="media/image3.png"/><Relationship Id="rId4" Type="http://schemas.openxmlformats.org/officeDocument/2006/relationships/hyperlink" Target="https://ablink.editorial.theguardian.com/ss/c/TBl-lE0k4WbTlFRn6v-lQXxTpTslqnvUsR2ofAkC00vgdgerNKRaYp08Nx5mF4FAjwCylslVTAtqsVRANl6E5q-Dsd3yd34mlWB8v-PRIF8PaiPEeA_uxzVGT0sM0Z8fWj2dZjCpwYUr983AMT_Cj4Bm4P4KT8MhErG8dcVYX8ojol71YvIihObWlrwyIT9pq0h3WC6HNWNhCERCIZXocQ/3zd/K6fIp8fTQ0KejyD4xAzxUQ/h19/Ze_Fi0AHw2mpFoF8HpVNtfKq6NV4T8U2G1HuzYxNL6c" TargetMode="External"/><Relationship Id="rId9" Type="http://schemas.openxmlformats.org/officeDocument/2006/relationships/hyperlink" Target="https://ablink.editorial.theguardian.com/ss/c/TBl-lE0k4WbTlFRn6v-lQXxTpTslqnvUsR2ofAkC00teaEyrmTsqTYt4WzwfOgB3LjZmMzqVFHR7fWlhHPIzb0qJR4tx35MZilY68nhmxhu23YpOCntTxMinLlQJ5ybxjmh9gqfPPsTDkeCWbDzoNlqbawbVOceJNYo08W-gSJlu72r9WtyjvDw_NbXiS8aBs69o5J6IfsMoxvA6dI-4s1XtvTVCPYxHPMDp5qqMw7SSs31QqAHQ7PC6DJ4eOmH1HA1bRVo1jneKFVUjh4LkzmHwv1CDr04M2VCTQw1Fen7Im8B6-Rf6fSQT54Zp8oAPPlrCZDj-3kLZms_0PbXTzpZjF-lmQrBLOo0E21CyK2jc1HpTd8vra8JubYTJJVaa/3zd/K6fIp8fTQ0KejyD4xAzxUQ/h22/6N1TmSErOuNLfFgagcWxRctFiX29XSI3-PM4CdaclK8" TargetMode="External"/><Relationship Id="rId14" Type="http://schemas.openxmlformats.org/officeDocument/2006/relationships/hyperlink" Target="https://ablink.editorial.theguardian.com/ss/c/TBl-lE0k4WbTlFRn6v-lQXxTpTslqnvUsR2ofAkC00teaEyrmTsqTYt4WzwfOgB3ESufyAaa2KvfZPN5HXzvzhAhxUwP3rspB13q2bwob7NipxqGWzribkhSA9O1tHNzj7gU92nStl6GNDHBd7s7bgvG7gcFEoYofR5y3xDwlVilLu0kUV9QikD5uOGzP9c4C7UtSaBn7dlaxM4T_Mv4dxRdC1kN-L6PYxfuZ_eTYNGvLhiTpnewJjcgo6PRCUp0j3ZhiebFtf6913v7K0P51bD0rOgKvCghR3UPwVZ6fjffyH7H8nJ-WLV32ae9y7m21YtnvK_N7nRz3d1fCTVUrGLbnga1TBaZthqP9_lX8JXDdAeot61ptQi3Tgg9USefJ6RBwtTHjb7XGI3PQvE2IQ/3zd/K6fIp8fTQ0KejyD4xAzxUQ/h27/AyaS3lSvFVLBiBsxWsKeq5TncB7ZIOCXV4EgqkqBW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1788</Words>
  <Characters>10198</Characters>
  <Application>Microsoft Office Word</Application>
  <DocSecurity>0</DocSecurity>
  <Lines>84</Lines>
  <Paragraphs>23</Paragraphs>
  <ScaleCrop>false</ScaleCrop>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Allison</dc:creator>
  <cp:keywords/>
  <dc:description/>
  <cp:lastModifiedBy>Lyn Allison</cp:lastModifiedBy>
  <cp:revision>1</cp:revision>
  <dcterms:created xsi:type="dcterms:W3CDTF">2023-09-06T07:50:00Z</dcterms:created>
  <dcterms:modified xsi:type="dcterms:W3CDTF">2023-09-06T07:50:00Z</dcterms:modified>
</cp:coreProperties>
</file>